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17" w:rsidRDefault="00734E17" w:rsidP="004E7E16">
      <w:pPr>
        <w:jc w:val="center"/>
        <w:rPr>
          <w:rFonts w:asciiTheme="minorHAnsi" w:hAnsiTheme="minorHAnsi" w:cstheme="minorHAnsi"/>
          <w:b/>
        </w:rPr>
      </w:pPr>
    </w:p>
    <w:p w:rsidR="00260575" w:rsidRDefault="00260575" w:rsidP="004E7E16">
      <w:pPr>
        <w:jc w:val="center"/>
        <w:rPr>
          <w:rFonts w:asciiTheme="minorHAnsi" w:hAnsiTheme="minorHAnsi" w:cstheme="minorHAnsi"/>
          <w:b/>
        </w:rPr>
      </w:pPr>
    </w:p>
    <w:p w:rsidR="0078242D" w:rsidRPr="004E7E16" w:rsidRDefault="004E7E16" w:rsidP="004E7E16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260575">
        <w:rPr>
          <w:rFonts w:asciiTheme="minorHAnsi" w:hAnsiTheme="minorHAnsi" w:cstheme="minorHAnsi"/>
          <w:b/>
        </w:rPr>
        <w:t>3</w:t>
      </w:r>
      <w:bookmarkStart w:id="0" w:name="_GoBack"/>
      <w:bookmarkEnd w:id="0"/>
      <w:r w:rsidRPr="004E7E16">
        <w:rPr>
          <w:rFonts w:asciiTheme="minorHAnsi" w:hAnsiTheme="minorHAnsi" w:cstheme="minorHAnsi"/>
          <w:b/>
        </w:rPr>
        <w:t>)</w:t>
      </w:r>
    </w:p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71EF1" w:rsidRDefault="00C71EF1" w:rsidP="00C71EF1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>Segue resposta</w:t>
      </w:r>
      <w:r w:rsidR="00620482">
        <w:rPr>
          <w:rFonts w:asciiTheme="minorHAnsi" w:eastAsia="Times New Roman" w:hAnsiTheme="minorHAnsi" w:cstheme="minorHAnsi"/>
          <w:bCs/>
          <w:i/>
          <w:lang w:eastAsia="pt-BR"/>
        </w:rPr>
        <w:t xml:space="preserve"> ao</w:t>
      </w: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 xml:space="preserve"> esclarecimento</w:t>
      </w:r>
      <w:r w:rsidR="00272B2E">
        <w:rPr>
          <w:rFonts w:asciiTheme="minorHAnsi" w:eastAsia="Times New Roman" w:hAnsiTheme="minorHAnsi" w:cstheme="minorHAnsi"/>
          <w:bCs/>
          <w:i/>
          <w:lang w:eastAsia="pt-BR"/>
        </w:rPr>
        <w:t xml:space="preserve"> solicitado:</w:t>
      </w:r>
    </w:p>
    <w:p w:rsidR="00D649FE" w:rsidRDefault="00D649FE" w:rsidP="00D649FE">
      <w:pPr>
        <w:suppressAutoHyphens w:val="0"/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pt-BR"/>
        </w:rPr>
      </w:pPr>
    </w:p>
    <w:p w:rsidR="00260575" w:rsidRPr="00260575" w:rsidRDefault="00260575" w:rsidP="0026057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60575">
        <w:rPr>
          <w:rFonts w:asciiTheme="minorHAnsi" w:hAnsiTheme="minorHAnsi" w:cstheme="minorHAnsi"/>
          <w:color w:val="000000"/>
        </w:rPr>
        <w:t>ITEM 2, SUBITEM 2.1.2</w:t>
      </w:r>
    </w:p>
    <w:p w:rsidR="00260575" w:rsidRPr="00260575" w:rsidRDefault="00260575" w:rsidP="0026057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60575">
        <w:rPr>
          <w:rFonts w:asciiTheme="minorHAnsi" w:hAnsiTheme="minorHAnsi" w:cstheme="minorHAnsi"/>
          <w:color w:val="000000"/>
        </w:rPr>
        <w:t xml:space="preserve">2.1.2.     Ambas as LICITANTES vencedoras deverão estar conectadas a, no mínimo, 2 (dois) </w:t>
      </w:r>
      <w:proofErr w:type="spellStart"/>
      <w:r w:rsidRPr="00260575">
        <w:rPr>
          <w:rFonts w:asciiTheme="minorHAnsi" w:hAnsiTheme="minorHAnsi" w:cstheme="minorHAnsi"/>
          <w:color w:val="000000"/>
        </w:rPr>
        <w:t>backbones</w:t>
      </w:r>
      <w:proofErr w:type="spellEnd"/>
      <w:r w:rsidRPr="00260575">
        <w:rPr>
          <w:rFonts w:asciiTheme="minorHAnsi" w:hAnsiTheme="minorHAnsi" w:cstheme="minorHAnsi"/>
          <w:color w:val="000000"/>
        </w:rPr>
        <w:t xml:space="preserve"> distintos e possuírem a “milha final” independente da outra.</w:t>
      </w:r>
    </w:p>
    <w:p w:rsidR="00260575" w:rsidRPr="00260575" w:rsidRDefault="00260575" w:rsidP="0026057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60575">
        <w:rPr>
          <w:rFonts w:asciiTheme="minorHAnsi" w:hAnsiTheme="minorHAnsi" w:cstheme="minorHAnsi"/>
          <w:color w:val="000000"/>
        </w:rPr>
        <w:t>Questionamento1: Como se dará a escolha das rotas em sua milha final? A vencedora do primeiro lote será priorizada?</w:t>
      </w:r>
    </w:p>
    <w:p w:rsidR="00260575" w:rsidRPr="00260575" w:rsidRDefault="00260575" w:rsidP="0026057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60575">
        <w:rPr>
          <w:rFonts w:asciiTheme="minorHAnsi" w:hAnsiTheme="minorHAnsi" w:cstheme="minorHAnsi"/>
          <w:b/>
          <w:color w:val="000000"/>
        </w:rPr>
        <w:t>R</w:t>
      </w:r>
      <w:r w:rsidRPr="00260575">
        <w:rPr>
          <w:rFonts w:asciiTheme="minorHAnsi" w:hAnsiTheme="minorHAnsi" w:cstheme="minorHAnsi"/>
          <w:b/>
          <w:color w:val="000000"/>
        </w:rPr>
        <w:t>ESPOSTA</w:t>
      </w:r>
      <w:r w:rsidRPr="00260575">
        <w:rPr>
          <w:rFonts w:asciiTheme="minorHAnsi" w:hAnsiTheme="minorHAnsi" w:cstheme="minorHAnsi"/>
          <w:color w:val="000000"/>
        </w:rPr>
        <w:t>: O lote 2 (principal) terá sua rota priorizada.</w:t>
      </w:r>
    </w:p>
    <w:p w:rsidR="00260575" w:rsidRPr="00260575" w:rsidRDefault="00260575" w:rsidP="0026057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60575">
        <w:rPr>
          <w:rFonts w:asciiTheme="minorHAnsi" w:hAnsiTheme="minorHAnsi" w:cstheme="minorHAnsi"/>
          <w:color w:val="000000"/>
        </w:rPr>
        <w:t xml:space="preserve">Questionamento 2: A conexão para </w:t>
      </w:r>
      <w:proofErr w:type="spellStart"/>
      <w:r w:rsidRPr="00260575">
        <w:rPr>
          <w:rFonts w:asciiTheme="minorHAnsi" w:hAnsiTheme="minorHAnsi" w:cstheme="minorHAnsi"/>
          <w:color w:val="000000"/>
        </w:rPr>
        <w:t>backbones</w:t>
      </w:r>
      <w:proofErr w:type="spellEnd"/>
      <w:r w:rsidRPr="00260575">
        <w:rPr>
          <w:rFonts w:asciiTheme="minorHAnsi" w:hAnsiTheme="minorHAnsi" w:cstheme="minorHAnsi"/>
          <w:color w:val="000000"/>
        </w:rPr>
        <w:t xml:space="preserve"> distintos deverão ser em estados distintos da federação, ou de POP, visando garantir uma redundância de acesso e última milha?</w:t>
      </w:r>
    </w:p>
    <w:p w:rsidR="00260575" w:rsidRPr="00260575" w:rsidRDefault="00260575" w:rsidP="0026057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60575">
        <w:rPr>
          <w:rFonts w:asciiTheme="minorHAnsi" w:hAnsiTheme="minorHAnsi" w:cstheme="minorHAnsi"/>
          <w:b/>
          <w:color w:val="000000"/>
        </w:rPr>
        <w:t>R</w:t>
      </w:r>
      <w:r w:rsidRPr="00260575">
        <w:rPr>
          <w:rFonts w:asciiTheme="minorHAnsi" w:hAnsiTheme="minorHAnsi" w:cstheme="minorHAnsi"/>
          <w:b/>
          <w:color w:val="000000"/>
        </w:rPr>
        <w:t>ESPOSTA</w:t>
      </w:r>
      <w:r w:rsidRPr="00260575">
        <w:rPr>
          <w:rFonts w:asciiTheme="minorHAnsi" w:hAnsiTheme="minorHAnsi" w:cstheme="minorHAnsi"/>
          <w:color w:val="000000"/>
        </w:rPr>
        <w:t>: Serão exigidos POP distintos, visando garantir redundância.</w:t>
      </w:r>
    </w:p>
    <w:p w:rsidR="00260575" w:rsidRPr="00260575" w:rsidRDefault="00260575" w:rsidP="0026057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60575">
        <w:rPr>
          <w:rFonts w:asciiTheme="minorHAnsi" w:hAnsiTheme="minorHAnsi" w:cstheme="minorHAnsi"/>
          <w:color w:val="000000"/>
        </w:rPr>
        <w:t>ITEM 2, SUBITEM 2.1.3</w:t>
      </w:r>
    </w:p>
    <w:p w:rsidR="00260575" w:rsidRPr="00260575" w:rsidRDefault="00260575" w:rsidP="0026057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60575">
        <w:rPr>
          <w:rFonts w:asciiTheme="minorHAnsi" w:hAnsiTheme="minorHAnsi" w:cstheme="minorHAnsi"/>
          <w:color w:val="000000"/>
        </w:rPr>
        <w:t>Questionamentos: Os barramentos de redes necessários seriam respectivamente /29 (IPV4) e /125 (IPV6)</w:t>
      </w:r>
    </w:p>
    <w:p w:rsidR="00260575" w:rsidRPr="00260575" w:rsidRDefault="00260575" w:rsidP="0026057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60575">
        <w:rPr>
          <w:rFonts w:asciiTheme="minorHAnsi" w:hAnsiTheme="minorHAnsi" w:cstheme="minorHAnsi"/>
          <w:b/>
          <w:color w:val="000000"/>
        </w:rPr>
        <w:t>R</w:t>
      </w:r>
      <w:r w:rsidRPr="00260575">
        <w:rPr>
          <w:rFonts w:asciiTheme="minorHAnsi" w:hAnsiTheme="minorHAnsi" w:cstheme="minorHAnsi"/>
          <w:b/>
          <w:color w:val="000000"/>
        </w:rPr>
        <w:t>ESPOSTA</w:t>
      </w:r>
      <w:r w:rsidRPr="00260575">
        <w:rPr>
          <w:rFonts w:asciiTheme="minorHAnsi" w:hAnsiTheme="minorHAnsi" w:cstheme="minorHAnsi"/>
          <w:color w:val="000000"/>
        </w:rPr>
        <w:t xml:space="preserve">: Os links deverão possuir no mínimo 6 (seis) </w:t>
      </w:r>
      <w:proofErr w:type="spellStart"/>
      <w:r w:rsidRPr="00260575">
        <w:rPr>
          <w:rFonts w:asciiTheme="minorHAnsi" w:hAnsiTheme="minorHAnsi" w:cstheme="minorHAnsi"/>
          <w:color w:val="000000"/>
        </w:rPr>
        <w:t>IPs</w:t>
      </w:r>
      <w:proofErr w:type="spellEnd"/>
      <w:r w:rsidRPr="00260575">
        <w:rPr>
          <w:rFonts w:asciiTheme="minorHAnsi" w:hAnsiTheme="minorHAnsi" w:cstheme="minorHAnsi"/>
          <w:color w:val="000000"/>
        </w:rPr>
        <w:t xml:space="preserve"> livres para utilização, onde o IP de borda do roteador não poderá ser considerado. Desta forma entendemos atendido com /29 (IPV4) com 6 </w:t>
      </w:r>
      <w:proofErr w:type="spellStart"/>
      <w:r w:rsidRPr="00260575">
        <w:rPr>
          <w:rFonts w:asciiTheme="minorHAnsi" w:hAnsiTheme="minorHAnsi" w:cstheme="minorHAnsi"/>
          <w:color w:val="000000"/>
        </w:rPr>
        <w:t>IPs</w:t>
      </w:r>
      <w:proofErr w:type="spellEnd"/>
      <w:r w:rsidRPr="00260575">
        <w:rPr>
          <w:rFonts w:asciiTheme="minorHAnsi" w:hAnsiTheme="minorHAnsi" w:cstheme="minorHAnsi"/>
          <w:color w:val="000000"/>
        </w:rPr>
        <w:t xml:space="preserve"> e /125 (IPV6) com 8 </w:t>
      </w:r>
      <w:proofErr w:type="spellStart"/>
      <w:r w:rsidRPr="00260575">
        <w:rPr>
          <w:rFonts w:asciiTheme="minorHAnsi" w:hAnsiTheme="minorHAnsi" w:cstheme="minorHAnsi"/>
          <w:color w:val="000000"/>
        </w:rPr>
        <w:t>IPs</w:t>
      </w:r>
      <w:proofErr w:type="spellEnd"/>
      <w:r w:rsidRPr="00260575">
        <w:rPr>
          <w:rFonts w:asciiTheme="minorHAnsi" w:hAnsiTheme="minorHAnsi" w:cstheme="minorHAnsi"/>
          <w:color w:val="000000"/>
        </w:rPr>
        <w:t>.</w:t>
      </w:r>
    </w:p>
    <w:p w:rsidR="00260575" w:rsidRPr="00260575" w:rsidRDefault="00260575" w:rsidP="0026057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60575">
        <w:rPr>
          <w:rFonts w:asciiTheme="minorHAnsi" w:hAnsiTheme="minorHAnsi" w:cstheme="minorHAnsi"/>
          <w:color w:val="000000"/>
        </w:rPr>
        <w:t>ITEM 2, SUBITEM 2.1.8</w:t>
      </w:r>
    </w:p>
    <w:p w:rsidR="00260575" w:rsidRPr="00260575" w:rsidRDefault="00260575" w:rsidP="0026057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60575">
        <w:rPr>
          <w:rFonts w:asciiTheme="minorHAnsi" w:hAnsiTheme="minorHAnsi" w:cstheme="minorHAnsi"/>
          <w:color w:val="000000"/>
        </w:rPr>
        <w:t>Questionamento: O Item 29 não consta em edital ou TR. Poderiam detalhar requisitos mínimos para ferramenta/interface de gerência.</w:t>
      </w:r>
    </w:p>
    <w:p w:rsidR="00260575" w:rsidRPr="00260575" w:rsidRDefault="00260575" w:rsidP="0026057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60575">
        <w:rPr>
          <w:rFonts w:asciiTheme="minorHAnsi" w:hAnsiTheme="minorHAnsi" w:cstheme="minorHAnsi"/>
          <w:b/>
          <w:color w:val="000000"/>
        </w:rPr>
        <w:t>R</w:t>
      </w:r>
      <w:r w:rsidRPr="00260575">
        <w:rPr>
          <w:rFonts w:asciiTheme="minorHAnsi" w:hAnsiTheme="minorHAnsi" w:cstheme="minorHAnsi"/>
          <w:b/>
          <w:color w:val="000000"/>
        </w:rPr>
        <w:t>ESPOSTA</w:t>
      </w:r>
      <w:r w:rsidRPr="00260575">
        <w:rPr>
          <w:rFonts w:asciiTheme="minorHAnsi" w:hAnsiTheme="minorHAnsi" w:cstheme="minorHAnsi"/>
          <w:color w:val="000000"/>
        </w:rPr>
        <w:t xml:space="preserve">: A Licitante deverá fornecer painel de monitoramento (MRTG/PRTG) com exibição mínima de estatísticas e gráficos dos dados de latência, </w:t>
      </w:r>
      <w:proofErr w:type="spellStart"/>
      <w:r w:rsidRPr="00260575">
        <w:rPr>
          <w:rFonts w:asciiTheme="minorHAnsi" w:hAnsiTheme="minorHAnsi" w:cstheme="minorHAnsi"/>
          <w:color w:val="000000"/>
        </w:rPr>
        <w:t>Jitter</w:t>
      </w:r>
      <w:proofErr w:type="spellEnd"/>
      <w:r w:rsidRPr="00260575">
        <w:rPr>
          <w:rFonts w:asciiTheme="minorHAnsi" w:hAnsiTheme="minorHAnsi" w:cstheme="minorHAnsi"/>
          <w:color w:val="000000"/>
        </w:rPr>
        <w:t>, Banda utilizada / disponível.</w:t>
      </w:r>
    </w:p>
    <w:p w:rsidR="00260575" w:rsidRDefault="00260575" w:rsidP="0026057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260575" w:rsidRDefault="00260575" w:rsidP="0026057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260575" w:rsidRDefault="00260575" w:rsidP="0026057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260575" w:rsidRPr="00260575" w:rsidRDefault="00260575" w:rsidP="0026057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 </w:t>
      </w:r>
      <w:r w:rsidRPr="00260575">
        <w:rPr>
          <w:rFonts w:asciiTheme="minorHAnsi" w:hAnsiTheme="minorHAnsi" w:cstheme="minorHAnsi"/>
          <w:color w:val="000000"/>
        </w:rPr>
        <w:t>EDITAL, ITEM 18, SUBITEM 18.1</w:t>
      </w:r>
    </w:p>
    <w:p w:rsidR="00260575" w:rsidRPr="00260575" w:rsidRDefault="00260575" w:rsidP="0026057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60575">
        <w:rPr>
          <w:rFonts w:asciiTheme="minorHAnsi" w:hAnsiTheme="minorHAnsi" w:cstheme="minorHAnsi"/>
          <w:color w:val="000000"/>
        </w:rPr>
        <w:t>18 -  DA SUBCONTRATAÇÃO, CESSÃO OU TRANSFERÊNCIA</w:t>
      </w:r>
    </w:p>
    <w:p w:rsidR="00260575" w:rsidRPr="00260575" w:rsidRDefault="00260575" w:rsidP="0026057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60575">
        <w:rPr>
          <w:rFonts w:asciiTheme="minorHAnsi" w:hAnsiTheme="minorHAnsi" w:cstheme="minorHAnsi"/>
          <w:color w:val="000000"/>
        </w:rPr>
        <w:t>18.1.  O objeto do contrato não poderá ser subcontratado, cedido ou transferido no todo ou em parte, a não ser com prévio e expresso consentimento do CONTRATANTE e sempre mediante instrumento próprio, devidamente motivado, a ser publicado no Diário Oficial do Município de Niterói.</w:t>
      </w:r>
    </w:p>
    <w:p w:rsidR="00260575" w:rsidRPr="00260575" w:rsidRDefault="00260575" w:rsidP="0026057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60575">
        <w:rPr>
          <w:rFonts w:asciiTheme="minorHAnsi" w:hAnsiTheme="minorHAnsi" w:cstheme="minorHAnsi"/>
          <w:color w:val="000000"/>
        </w:rPr>
        <w:t>Questionamento: Em qual momento haverá validação em caso de subcontratação? Poderiam nos detalhar melhor este item?</w:t>
      </w:r>
    </w:p>
    <w:p w:rsidR="00260575" w:rsidRPr="00260575" w:rsidRDefault="00260575" w:rsidP="0026057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60575">
        <w:rPr>
          <w:rFonts w:asciiTheme="minorHAnsi" w:hAnsiTheme="minorHAnsi" w:cstheme="minorHAnsi"/>
          <w:b/>
          <w:color w:val="000000"/>
        </w:rPr>
        <w:t>R</w:t>
      </w:r>
      <w:r w:rsidRPr="00260575">
        <w:rPr>
          <w:rFonts w:asciiTheme="minorHAnsi" w:hAnsiTheme="minorHAnsi" w:cstheme="minorHAnsi"/>
          <w:b/>
          <w:color w:val="000000"/>
        </w:rPr>
        <w:t>ESPOSTA</w:t>
      </w:r>
      <w:r w:rsidRPr="00260575">
        <w:rPr>
          <w:rFonts w:asciiTheme="minorHAnsi" w:hAnsiTheme="minorHAnsi" w:cstheme="minorHAnsi"/>
          <w:color w:val="000000"/>
        </w:rPr>
        <w:t xml:space="preserve">: Quanto à autorização para subcontratação, conforme previsto no item 18.1 do Pregão Eletrônico 001/2021, insta salientar que a vencedora do certame irá figurar no contrato com o Município de Niterói e terá a obrigação exclusiva de assegurar toda a execução do contrato, não sendo permitida a subcontratação total ou da maior parcela do objeto. A autorização para subcontratação poderá ser feita após a escolha da empresa que figurará no contrato, sendo definida entre as partes as especificações dos serviços a serem subcontratados e prazos. </w:t>
      </w:r>
    </w:p>
    <w:p w:rsidR="00260575" w:rsidRPr="00260575" w:rsidRDefault="00260575" w:rsidP="0026057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260575" w:rsidRPr="00260575" w:rsidRDefault="00260575" w:rsidP="0026057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60575">
        <w:rPr>
          <w:rFonts w:asciiTheme="minorHAnsi" w:hAnsiTheme="minorHAnsi" w:cstheme="minorHAnsi"/>
          <w:color w:val="000000"/>
        </w:rPr>
        <w:t>Atenciosamente,</w:t>
      </w:r>
    </w:p>
    <w:p w:rsidR="003A42C4" w:rsidRPr="00260575" w:rsidRDefault="00260575" w:rsidP="0026057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60575">
        <w:rPr>
          <w:rFonts w:asciiTheme="minorHAnsi" w:hAnsiTheme="minorHAnsi" w:cstheme="minorHAnsi"/>
          <w:color w:val="000000"/>
        </w:rPr>
        <w:t xml:space="preserve">Danilo </w:t>
      </w:r>
      <w:proofErr w:type="spellStart"/>
      <w:r w:rsidRPr="00260575">
        <w:rPr>
          <w:rFonts w:asciiTheme="minorHAnsi" w:hAnsiTheme="minorHAnsi" w:cstheme="minorHAnsi"/>
          <w:color w:val="000000"/>
        </w:rPr>
        <w:t>Bertazzi</w:t>
      </w:r>
      <w:proofErr w:type="spellEnd"/>
    </w:p>
    <w:p w:rsidR="00FD69F3" w:rsidRPr="003A42C4" w:rsidRDefault="00FD69F3" w:rsidP="003A42C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3A42C4">
        <w:rPr>
          <w:rFonts w:asciiTheme="minorHAnsi" w:hAnsiTheme="minorHAnsi" w:cstheme="minorHAnsi"/>
          <w:bCs/>
          <w:i/>
          <w:lang w:eastAsia="pt-BR"/>
        </w:rPr>
        <w:t xml:space="preserve">Secretaria </w:t>
      </w:r>
      <w:r w:rsidR="00D649FE" w:rsidRPr="003A42C4">
        <w:rPr>
          <w:rFonts w:asciiTheme="minorHAnsi" w:hAnsiTheme="minorHAnsi" w:cstheme="minorHAnsi"/>
          <w:bCs/>
          <w:i/>
          <w:lang w:eastAsia="pt-BR"/>
        </w:rPr>
        <w:t xml:space="preserve">Municipal de </w:t>
      </w:r>
      <w:r w:rsidR="00E06A46" w:rsidRPr="003A42C4">
        <w:rPr>
          <w:rFonts w:asciiTheme="minorHAnsi" w:hAnsiTheme="minorHAnsi" w:cstheme="minorHAnsi"/>
          <w:bCs/>
          <w:i/>
          <w:lang w:eastAsia="pt-BR"/>
        </w:rPr>
        <w:t>Planejamento, Orçamento e Modernização da Gestão</w:t>
      </w:r>
    </w:p>
    <w:sectPr w:rsidR="00FD69F3" w:rsidRPr="003A42C4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Pr="00E3000B" w:rsidRDefault="00E06A46" w:rsidP="00E3000B">
    <w:pPr>
      <w:pStyle w:val="Cabealho"/>
      <w:jc w:val="center"/>
    </w:pPr>
    <w:r w:rsidRPr="00E06A46">
      <w:rPr>
        <w:rFonts w:asciiTheme="minorHAnsi" w:hAnsiTheme="minorHAnsi" w:cstheme="minorHAnsi"/>
        <w:b/>
      </w:rPr>
      <w:t>Secretaria Municipal de Planejamento, Orçamento e Modernização da Gestão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0575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A42C4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BE92779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3A42C4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46B0-2768-4ED3-A355-4E8D3839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2020-06-03T19:27:00Z</cp:lastPrinted>
  <dcterms:created xsi:type="dcterms:W3CDTF">2021-02-02T18:40:00Z</dcterms:created>
  <dcterms:modified xsi:type="dcterms:W3CDTF">2021-02-02T18:40:00Z</dcterms:modified>
</cp:coreProperties>
</file>